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C497" w14:textId="77777777" w:rsidR="00EA4B4E" w:rsidRPr="00EA4B4E" w:rsidRDefault="00EA4B4E" w:rsidP="00EA4B4E">
      <w:pPr>
        <w:shd w:val="clear" w:color="auto" w:fill="FFFFFF"/>
        <w:spacing w:line="240" w:lineRule="auto"/>
        <w:jc w:val="center"/>
        <w:rPr>
          <w:rFonts w:eastAsia="Times New Roman" w:cs="Times New Roman"/>
          <w:szCs w:val="24"/>
          <w:lang w:eastAsia="es-CO"/>
        </w:rPr>
      </w:pPr>
      <w:r w:rsidRPr="00EA4B4E">
        <w:rPr>
          <w:rFonts w:eastAsia="Times New Roman" w:cs="Times New Roman"/>
          <w:b/>
          <w:bCs/>
          <w:szCs w:val="24"/>
          <w:lang w:eastAsia="es-CO"/>
        </w:rPr>
        <w:t>OFICIO Nº 1324 [013733]</w:t>
      </w:r>
    </w:p>
    <w:p w14:paraId="712499B6" w14:textId="77777777" w:rsidR="00EA4B4E" w:rsidRPr="00EA4B4E" w:rsidRDefault="00EA4B4E" w:rsidP="00EA4B4E">
      <w:pPr>
        <w:shd w:val="clear" w:color="auto" w:fill="FFFFFF"/>
        <w:spacing w:line="240" w:lineRule="auto"/>
        <w:jc w:val="center"/>
        <w:rPr>
          <w:rFonts w:eastAsia="Times New Roman" w:cs="Times New Roman"/>
          <w:szCs w:val="24"/>
          <w:lang w:eastAsia="es-CO"/>
        </w:rPr>
      </w:pPr>
      <w:r w:rsidRPr="00EA4B4E">
        <w:rPr>
          <w:rFonts w:eastAsia="Times New Roman" w:cs="Times New Roman"/>
          <w:b/>
          <w:bCs/>
          <w:szCs w:val="24"/>
          <w:lang w:eastAsia="es-CO"/>
        </w:rPr>
        <w:t>30-05-2019</w:t>
      </w:r>
    </w:p>
    <w:p w14:paraId="2429D88D" w14:textId="77777777" w:rsidR="00EA4B4E" w:rsidRPr="00EA4B4E" w:rsidRDefault="00EA4B4E" w:rsidP="00EA4B4E">
      <w:pPr>
        <w:shd w:val="clear" w:color="auto" w:fill="FFFFFF"/>
        <w:spacing w:line="240" w:lineRule="auto"/>
        <w:jc w:val="center"/>
        <w:rPr>
          <w:rFonts w:eastAsia="Times New Roman" w:cs="Times New Roman"/>
          <w:szCs w:val="24"/>
          <w:lang w:eastAsia="es-CO"/>
        </w:rPr>
      </w:pPr>
      <w:r w:rsidRPr="00EA4B4E">
        <w:rPr>
          <w:rFonts w:eastAsia="Times New Roman" w:cs="Times New Roman"/>
          <w:b/>
          <w:bCs/>
          <w:szCs w:val="24"/>
          <w:lang w:eastAsia="es-CO"/>
        </w:rPr>
        <w:t>DIAN</w:t>
      </w:r>
    </w:p>
    <w:p w14:paraId="74654F65"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b/>
          <w:bCs/>
          <w:szCs w:val="24"/>
          <w:lang w:eastAsia="es-CO"/>
        </w:rPr>
        <w:t> </w:t>
      </w:r>
    </w:p>
    <w:p w14:paraId="6DA3BC0A"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b/>
          <w:bCs/>
          <w:szCs w:val="24"/>
          <w:lang w:eastAsia="es-CO"/>
        </w:rPr>
        <w:t> </w:t>
      </w:r>
    </w:p>
    <w:p w14:paraId="3D71D0A2"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Subdirección de Gestión Normativa y Doctrina</w:t>
      </w:r>
    </w:p>
    <w:p w14:paraId="525D9A36"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100208221 – 001324</w:t>
      </w:r>
    </w:p>
    <w:p w14:paraId="6BF1EEC5"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Bogotá, D.C.</w:t>
      </w:r>
    </w:p>
    <w:p w14:paraId="3B61DDA6"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3480FA4E" w14:textId="77777777" w:rsidR="00EA4B4E" w:rsidRPr="00EA4B4E" w:rsidRDefault="00EA4B4E" w:rsidP="00EA4B4E">
      <w:pPr>
        <w:shd w:val="clear" w:color="auto" w:fill="FFFFFF"/>
        <w:spacing w:line="240" w:lineRule="auto"/>
        <w:rPr>
          <w:rFonts w:eastAsia="Times New Roman" w:cs="Times New Roman"/>
          <w:szCs w:val="24"/>
          <w:lang w:eastAsia="es-CO"/>
        </w:rPr>
      </w:pPr>
      <w:proofErr w:type="spellStart"/>
      <w:r w:rsidRPr="00EA4B4E">
        <w:rPr>
          <w:rFonts w:eastAsia="Times New Roman" w:cs="Times New Roman"/>
          <w:b/>
          <w:bCs/>
          <w:szCs w:val="24"/>
          <w:lang w:eastAsia="es-CO"/>
        </w:rPr>
        <w:t>Ref</w:t>
      </w:r>
      <w:proofErr w:type="spellEnd"/>
      <w:r w:rsidRPr="00EA4B4E">
        <w:rPr>
          <w:rFonts w:eastAsia="Times New Roman" w:cs="Times New Roman"/>
          <w:b/>
          <w:bCs/>
          <w:szCs w:val="24"/>
          <w:lang w:eastAsia="es-CO"/>
        </w:rPr>
        <w:t>: </w:t>
      </w:r>
      <w:r w:rsidRPr="00EA4B4E">
        <w:rPr>
          <w:rFonts w:eastAsia="Times New Roman" w:cs="Times New Roman"/>
          <w:szCs w:val="24"/>
          <w:lang w:eastAsia="es-CO"/>
        </w:rPr>
        <w:t>Radicado 100024541 del 15/04/2019</w:t>
      </w:r>
    </w:p>
    <w:p w14:paraId="530F435F"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0"/>
        <w:gridCol w:w="276"/>
        <w:gridCol w:w="276"/>
        <w:gridCol w:w="6277"/>
      </w:tblGrid>
      <w:tr w:rsidR="00EA4B4E" w:rsidRPr="00EA4B4E" w14:paraId="01A5B482" w14:textId="77777777" w:rsidTr="00EA4B4E">
        <w:tc>
          <w:tcPr>
            <w:tcW w:w="0" w:type="auto"/>
            <w:tcBorders>
              <w:top w:val="nil"/>
              <w:left w:val="nil"/>
              <w:bottom w:val="nil"/>
              <w:right w:val="nil"/>
            </w:tcBorders>
            <w:shd w:val="clear" w:color="auto" w:fill="auto"/>
            <w:tcMar>
              <w:top w:w="0" w:type="dxa"/>
              <w:left w:w="108" w:type="dxa"/>
              <w:bottom w:w="0" w:type="dxa"/>
              <w:right w:w="108" w:type="dxa"/>
            </w:tcMar>
            <w:hideMark/>
          </w:tcPr>
          <w:p w14:paraId="0B9886D4"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5793B65"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6E87D5D"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01E335F"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szCs w:val="24"/>
                <w:lang w:eastAsia="es-CO"/>
              </w:rPr>
              <w:t>Otros Temas</w:t>
            </w:r>
          </w:p>
        </w:tc>
      </w:tr>
      <w:tr w:rsidR="00EA4B4E" w:rsidRPr="00EA4B4E" w14:paraId="1BECC4B0" w14:textId="77777777" w:rsidTr="00EA4B4E">
        <w:tc>
          <w:tcPr>
            <w:tcW w:w="0" w:type="auto"/>
            <w:tcBorders>
              <w:top w:val="nil"/>
              <w:left w:val="nil"/>
              <w:bottom w:val="nil"/>
              <w:right w:val="nil"/>
            </w:tcBorders>
            <w:shd w:val="clear" w:color="auto" w:fill="auto"/>
            <w:tcMar>
              <w:top w:w="0" w:type="dxa"/>
              <w:left w:w="108" w:type="dxa"/>
              <w:bottom w:w="0" w:type="dxa"/>
              <w:right w:w="108" w:type="dxa"/>
            </w:tcMar>
            <w:hideMark/>
          </w:tcPr>
          <w:p w14:paraId="4D0A8F68"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92C5AC1"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5A2787B"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F4BC68" w14:textId="77777777" w:rsidR="00EA4B4E" w:rsidRPr="00775D53" w:rsidRDefault="00EA4B4E" w:rsidP="00EA4B4E">
            <w:pPr>
              <w:spacing w:line="240" w:lineRule="auto"/>
              <w:rPr>
                <w:rFonts w:eastAsia="Times New Roman" w:cs="Times New Roman"/>
                <w:b/>
                <w:bCs/>
                <w:szCs w:val="24"/>
                <w:lang w:eastAsia="es-CO"/>
              </w:rPr>
            </w:pPr>
            <w:proofErr w:type="spellStart"/>
            <w:r w:rsidRPr="00775D53">
              <w:rPr>
                <w:rFonts w:eastAsia="Times New Roman" w:cs="Times New Roman"/>
                <w:b/>
                <w:bCs/>
                <w:szCs w:val="24"/>
                <w:lang w:eastAsia="es-CO"/>
              </w:rPr>
              <w:t>Criptoactivos</w:t>
            </w:r>
            <w:proofErr w:type="spellEnd"/>
          </w:p>
        </w:tc>
      </w:tr>
      <w:tr w:rsidR="00EA4B4E" w:rsidRPr="00EA4B4E" w14:paraId="18CC5D8A" w14:textId="77777777" w:rsidTr="00EA4B4E">
        <w:tc>
          <w:tcPr>
            <w:tcW w:w="0" w:type="auto"/>
            <w:tcBorders>
              <w:top w:val="nil"/>
              <w:left w:val="nil"/>
              <w:bottom w:val="nil"/>
              <w:right w:val="nil"/>
            </w:tcBorders>
            <w:shd w:val="clear" w:color="auto" w:fill="auto"/>
            <w:tcMar>
              <w:top w:w="0" w:type="dxa"/>
              <w:left w:w="108" w:type="dxa"/>
              <w:bottom w:w="0" w:type="dxa"/>
              <w:right w:w="108" w:type="dxa"/>
            </w:tcMar>
            <w:hideMark/>
          </w:tcPr>
          <w:p w14:paraId="654264C8"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214C7C"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B80063D"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97C4027"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szCs w:val="24"/>
                <w:lang w:eastAsia="es-CO"/>
              </w:rPr>
              <w:t>Artículos </w:t>
            </w:r>
            <w:hyperlink r:id="rId4" w:tooltip="Estatuto Tributario CETA" w:history="1">
              <w:r w:rsidRPr="00EA4B4E">
                <w:rPr>
                  <w:rFonts w:eastAsia="Times New Roman" w:cs="Times New Roman"/>
                  <w:szCs w:val="24"/>
                  <w:u w:val="single"/>
                  <w:lang w:eastAsia="es-CO"/>
                </w:rPr>
                <w:t>615</w:t>
              </w:r>
            </w:hyperlink>
            <w:r w:rsidRPr="00EA4B4E">
              <w:rPr>
                <w:rFonts w:eastAsia="Times New Roman" w:cs="Times New Roman"/>
                <w:szCs w:val="24"/>
                <w:lang w:eastAsia="es-CO"/>
              </w:rPr>
              <w:t> y </w:t>
            </w:r>
            <w:hyperlink r:id="rId5" w:tooltip="Estatuto Tributario CETA" w:history="1">
              <w:r w:rsidRPr="00EA4B4E">
                <w:rPr>
                  <w:rFonts w:eastAsia="Times New Roman" w:cs="Times New Roman"/>
                  <w:szCs w:val="24"/>
                  <w:u w:val="single"/>
                  <w:lang w:eastAsia="es-CO"/>
                </w:rPr>
                <w:t>771-2</w:t>
              </w:r>
            </w:hyperlink>
            <w:r w:rsidRPr="00EA4B4E">
              <w:rPr>
                <w:rFonts w:eastAsia="Times New Roman" w:cs="Times New Roman"/>
                <w:szCs w:val="24"/>
                <w:lang w:eastAsia="es-CO"/>
              </w:rPr>
              <w:t> del Estatuto Tributario.</w:t>
            </w:r>
          </w:p>
          <w:p w14:paraId="2EB60AE2" w14:textId="77777777" w:rsidR="00EA4B4E" w:rsidRPr="00EA4B4E" w:rsidRDefault="00EA4B4E" w:rsidP="00EA4B4E">
            <w:pPr>
              <w:spacing w:line="240" w:lineRule="auto"/>
              <w:rPr>
                <w:rFonts w:eastAsia="Times New Roman" w:cs="Times New Roman"/>
                <w:szCs w:val="24"/>
                <w:lang w:eastAsia="es-CO"/>
              </w:rPr>
            </w:pPr>
            <w:r w:rsidRPr="00EA4B4E">
              <w:rPr>
                <w:rFonts w:eastAsia="Times New Roman" w:cs="Times New Roman"/>
                <w:szCs w:val="24"/>
                <w:lang w:eastAsia="es-CO"/>
              </w:rPr>
              <w:t>Artículos 1.6.1.4.44 y 1.61.4.10 (sic) del Decreto 1625 de 2016.</w:t>
            </w:r>
          </w:p>
        </w:tc>
      </w:tr>
    </w:tbl>
    <w:p w14:paraId="732D3E03"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29B0F2DA"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04614F1E"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Cordial saludo, Señor Llamas:</w:t>
      </w:r>
    </w:p>
    <w:p w14:paraId="2424F509"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38D92A85"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7E40F865"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1D8630DB"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14:paraId="400D0645"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4EB64E32"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En atención a la consulta, en la que solicita:</w:t>
      </w:r>
    </w:p>
    <w:p w14:paraId="42E2B8CB"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0ED81B6A"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i/>
          <w:iCs/>
          <w:szCs w:val="24"/>
          <w:u w:val="single"/>
          <w:lang w:eastAsia="es-CO"/>
        </w:rPr>
        <w:t>1 ¿Cuál debe ser el soporte por el cual se demuestre el valor patrimonial a declarar y/o costo fiscal en las enajenaciones, entendiendo que las monedas virtuales se pueden comprar de billetera a billetera o a un Exchange Virtual operado desde el exterior?</w:t>
      </w:r>
    </w:p>
    <w:p w14:paraId="13A078EB" w14:textId="77777777" w:rsidR="00EA4B4E" w:rsidRPr="00EA4B4E" w:rsidRDefault="00EA4B4E" w:rsidP="00EA4B4E">
      <w:pPr>
        <w:shd w:val="clear" w:color="auto" w:fill="FFFFFF"/>
        <w:spacing w:line="240" w:lineRule="auto"/>
        <w:rPr>
          <w:rFonts w:eastAsia="Times New Roman" w:cs="Times New Roman"/>
          <w:i/>
          <w:iCs/>
          <w:szCs w:val="24"/>
          <w:u w:val="single"/>
          <w:lang w:eastAsia="es-CO"/>
        </w:rPr>
      </w:pPr>
    </w:p>
    <w:p w14:paraId="0E4B86D2"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i/>
          <w:iCs/>
          <w:szCs w:val="24"/>
          <w:u w:val="single"/>
          <w:lang w:eastAsia="es-CO"/>
        </w:rPr>
        <w:t>2. ¿El capture del pantallazo donde se visualiza la fecha y valor de la operación de compra o venta por intermediario de un Exchange puede servir de medio probatorio?</w:t>
      </w:r>
    </w:p>
    <w:p w14:paraId="027FE9A7" w14:textId="77777777" w:rsidR="00EA4B4E" w:rsidRPr="00EA4B4E" w:rsidRDefault="00EA4B4E" w:rsidP="00EA4B4E">
      <w:pPr>
        <w:shd w:val="clear" w:color="auto" w:fill="FFFFFF"/>
        <w:spacing w:line="240" w:lineRule="auto"/>
        <w:rPr>
          <w:rFonts w:eastAsia="Times New Roman" w:cs="Times New Roman"/>
          <w:i/>
          <w:iCs/>
          <w:szCs w:val="24"/>
          <w:u w:val="single"/>
          <w:lang w:eastAsia="es-CO"/>
        </w:rPr>
      </w:pPr>
    </w:p>
    <w:p w14:paraId="00336A76"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i/>
          <w:iCs/>
          <w:szCs w:val="24"/>
          <w:u w:val="single"/>
          <w:lang w:eastAsia="es-CO"/>
        </w:rPr>
        <w:t>3. ¿Existe dificultad de demostrar mediante un pantallazo la transacción entre billeteras particulares P2P en la cual no interviene un Exchange? ¿Según las normas actuales y doctrina oficial de la DIAN, entiendo que la tecnología va más adelante que la normatividad pero que puede haber vacíos en la norma, pero no en el derecho? ¿Qué opciones tiene un contribuyente que quiere cumplir con el deber sustancial de pagar su tributo y de cumplir con los deberes formales para soportar fecha y valor de las transacciones?</w:t>
      </w:r>
    </w:p>
    <w:p w14:paraId="4F87EC96"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i/>
          <w:iCs/>
          <w:szCs w:val="24"/>
          <w:lang w:eastAsia="es-CO"/>
        </w:rPr>
        <w:t> </w:t>
      </w:r>
    </w:p>
    <w:p w14:paraId="2C8C1E6A"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b/>
          <w:bCs/>
          <w:szCs w:val="24"/>
          <w:u w:val="single"/>
          <w:lang w:eastAsia="es-CO"/>
        </w:rPr>
        <w:t>Respuesta 1 a la 4</w:t>
      </w:r>
      <w:r w:rsidRPr="00EA4B4E">
        <w:rPr>
          <w:rFonts w:eastAsia="Times New Roman" w:cs="Times New Roman"/>
          <w:b/>
          <w:bCs/>
          <w:szCs w:val="24"/>
          <w:lang w:eastAsia="es-CO"/>
        </w:rPr>
        <w:t>:</w:t>
      </w:r>
    </w:p>
    <w:p w14:paraId="16778F9E"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b/>
          <w:bCs/>
          <w:szCs w:val="24"/>
          <w:lang w:eastAsia="es-CO"/>
        </w:rPr>
        <w:t> </w:t>
      </w:r>
    </w:p>
    <w:p w14:paraId="03CD6257"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En primer lugar, es pertinente aclarar que los </w:t>
      </w:r>
      <w:proofErr w:type="spellStart"/>
      <w:r w:rsidRPr="00EA4B4E">
        <w:rPr>
          <w:rFonts w:eastAsia="Times New Roman" w:cs="Times New Roman"/>
          <w:i/>
          <w:iCs/>
          <w:szCs w:val="24"/>
          <w:lang w:eastAsia="es-CO"/>
        </w:rPr>
        <w:t>criptoactivos</w:t>
      </w:r>
      <w:proofErr w:type="spellEnd"/>
      <w:r w:rsidRPr="00EA4B4E">
        <w:rPr>
          <w:rFonts w:eastAsia="Times New Roman" w:cs="Times New Roman"/>
          <w:szCs w:val="24"/>
          <w:lang w:eastAsia="es-CO"/>
        </w:rPr>
        <w:t> desde el punto de vista patrimonial corresponden a bienes inmateriales, susceptibles de ser valorados, forman parte del patrimonio y pueden conducir a la obtención de una renta. Por lo tanto, las ventas de las mismas se encuentran sujetas a las mismas obligaciones formales consagradas en el Estatuto Tributario, como si se tratase de cualquier otro bien o servicio.</w:t>
      </w:r>
    </w:p>
    <w:p w14:paraId="79425115"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002D9CA7"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Por lo tanto, recalcamos que de acuerdo con el </w:t>
      </w:r>
      <w:hyperlink r:id="rId6" w:tooltip="Estatuto Tributario CETA" w:history="1">
        <w:r w:rsidRPr="00EA4B4E">
          <w:rPr>
            <w:rFonts w:eastAsia="Times New Roman" w:cs="Times New Roman"/>
            <w:szCs w:val="24"/>
            <w:u w:val="single"/>
            <w:lang w:eastAsia="es-CO"/>
          </w:rPr>
          <w:t>artículo 615</w:t>
        </w:r>
      </w:hyperlink>
      <w:r w:rsidRPr="00EA4B4E">
        <w:rPr>
          <w:rFonts w:eastAsia="Times New Roman" w:cs="Times New Roman"/>
          <w:szCs w:val="24"/>
          <w:lang w:eastAsia="es-CO"/>
        </w:rPr>
        <w:t> del Estatuto Tributario, están obligados a expedir factura:</w:t>
      </w:r>
    </w:p>
    <w:p w14:paraId="70DF5642"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szCs w:val="24"/>
          <w:lang w:eastAsia="es-CO"/>
        </w:rPr>
        <w:t> </w:t>
      </w:r>
    </w:p>
    <w:p w14:paraId="42FD0688"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lastRenderedPageBreak/>
        <w:t>“(..)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 (…)”</w:t>
      </w:r>
    </w:p>
    <w:p w14:paraId="7FF06E7D"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i/>
          <w:iCs/>
          <w:szCs w:val="24"/>
          <w:lang w:eastAsia="es-CO"/>
        </w:rPr>
        <w:t> </w:t>
      </w:r>
    </w:p>
    <w:p w14:paraId="45CB9E81"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Adicionalmente, de conformidad con el </w:t>
      </w:r>
      <w:hyperlink r:id="rId7" w:tooltip="Estatuto Tributario CETA" w:history="1">
        <w:r w:rsidRPr="00EA4B4E">
          <w:rPr>
            <w:rFonts w:eastAsia="Times New Roman" w:cs="Times New Roman"/>
            <w:szCs w:val="24"/>
            <w:u w:val="single"/>
            <w:lang w:eastAsia="es-CO"/>
          </w:rPr>
          <w:t>artículo 616-2</w:t>
        </w:r>
      </w:hyperlink>
      <w:r w:rsidRPr="00EA4B4E">
        <w:rPr>
          <w:rFonts w:eastAsia="Times New Roman" w:cs="Times New Roman"/>
          <w:szCs w:val="24"/>
          <w:lang w:eastAsia="es-CO"/>
        </w:rPr>
        <w:t> Estatuto Tributario, no existirá la obligación de expedir facturas para los no responsables del Impuesto sobre las Ventas.</w:t>
      </w:r>
    </w:p>
    <w:p w14:paraId="2F8CA6B0"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41E37006"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Ahora bien, en lo referente al reconocimiento de costos, es exigible la prueba documental, de acuerdo con lo establecido en el </w:t>
      </w:r>
      <w:hyperlink r:id="rId8" w:tooltip="Estatuto Tributario CETA" w:history="1">
        <w:r w:rsidRPr="00EA4B4E">
          <w:rPr>
            <w:rFonts w:eastAsia="Times New Roman" w:cs="Times New Roman"/>
            <w:szCs w:val="24"/>
            <w:u w:val="single"/>
            <w:lang w:eastAsia="es-CO"/>
          </w:rPr>
          <w:t>artículo 771-2</w:t>
        </w:r>
      </w:hyperlink>
      <w:r w:rsidRPr="00EA4B4E">
        <w:rPr>
          <w:rFonts w:eastAsia="Times New Roman" w:cs="Times New Roman"/>
          <w:szCs w:val="24"/>
          <w:lang w:eastAsia="es-CO"/>
        </w:rPr>
        <w:t> del Estatuto Tributario:</w:t>
      </w:r>
    </w:p>
    <w:p w14:paraId="4D4D77F6"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szCs w:val="24"/>
          <w:lang w:eastAsia="es-CO"/>
        </w:rPr>
        <w:t> </w:t>
      </w:r>
    </w:p>
    <w:p w14:paraId="2FFFF3C8"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“Para la procedencia de costos y deducciones en el impuesto sobre la renta, así como de los impuestos descontables en el impuesto sobre las ventas, se requerirá de las facturas con el cumplimiento de los requisitos establecidos en los literales b, c, d, f, y g del </w:t>
      </w:r>
      <w:hyperlink r:id="rId9" w:tooltip="Estatuto Tributario CETA" w:history="1">
        <w:r w:rsidRPr="00EA4B4E">
          <w:rPr>
            <w:rFonts w:eastAsia="Times New Roman" w:cs="Times New Roman"/>
            <w:i/>
            <w:iCs/>
            <w:szCs w:val="24"/>
            <w:u w:val="single"/>
            <w:lang w:eastAsia="es-CO"/>
          </w:rPr>
          <w:t>artículo 617</w:t>
        </w:r>
      </w:hyperlink>
      <w:r w:rsidRPr="00EA4B4E">
        <w:rPr>
          <w:rFonts w:eastAsia="Times New Roman" w:cs="Times New Roman"/>
          <w:i/>
          <w:iCs/>
          <w:szCs w:val="24"/>
          <w:lang w:eastAsia="es-CO"/>
        </w:rPr>
        <w:t> del Estatuto Tributario. Tratándose de documentos equivalentes, se deberán cumplir los requisitos contenidos en los literales b, d, e, y g del </w:t>
      </w:r>
      <w:hyperlink r:id="rId10" w:tooltip="Estatuto Tributario CETA" w:history="1">
        <w:r w:rsidRPr="00EA4B4E">
          <w:rPr>
            <w:rFonts w:eastAsia="Times New Roman" w:cs="Times New Roman"/>
            <w:i/>
            <w:iCs/>
            <w:szCs w:val="24"/>
            <w:u w:val="single"/>
            <w:lang w:eastAsia="es-CO"/>
          </w:rPr>
          <w:t>artículo 617</w:t>
        </w:r>
      </w:hyperlink>
    </w:p>
    <w:p w14:paraId="09380A37"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 </w:t>
      </w:r>
    </w:p>
    <w:p w14:paraId="45EC8931"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Tratándose de documentos equivalentes se deberán cumplir los requisitos contenidos en los literales b), d), e) y g) del </w:t>
      </w:r>
      <w:hyperlink r:id="rId11" w:tooltip="Estatuto Tributario CETA" w:history="1">
        <w:r w:rsidRPr="00EA4B4E">
          <w:rPr>
            <w:rFonts w:eastAsia="Times New Roman" w:cs="Times New Roman"/>
            <w:i/>
            <w:iCs/>
            <w:szCs w:val="24"/>
            <w:u w:val="single"/>
            <w:lang w:eastAsia="es-CO"/>
          </w:rPr>
          <w:t>artículo 617</w:t>
        </w:r>
      </w:hyperlink>
      <w:r w:rsidRPr="00EA4B4E">
        <w:rPr>
          <w:rFonts w:eastAsia="Times New Roman" w:cs="Times New Roman"/>
          <w:i/>
          <w:iCs/>
          <w:szCs w:val="24"/>
          <w:lang w:eastAsia="es-CO"/>
        </w:rPr>
        <w:t> del Estatuto Tributario.</w:t>
      </w:r>
    </w:p>
    <w:p w14:paraId="1E57F2E5"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 </w:t>
      </w:r>
    </w:p>
    <w:p w14:paraId="2F0E09B8"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Cuando no exista la obligación de expedir factura o documento equivalente, el documento que pruebe la respectiva transacción que da lugar a costos, deducciones o impuestos descontables, deberá cumplir los requisitos mínimos que el Gobierno Nacional establezca.”</w:t>
      </w:r>
    </w:p>
    <w:p w14:paraId="4897991B"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i/>
          <w:iCs/>
          <w:szCs w:val="24"/>
          <w:lang w:eastAsia="es-CO"/>
        </w:rPr>
        <w:t> </w:t>
      </w:r>
    </w:p>
    <w:p w14:paraId="7AD982A9"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La norma prevé que cuando no hay obligación de expedir factura, -como en los casos contemplados en el </w:t>
      </w:r>
      <w:hyperlink r:id="rId12" w:tooltip="Estatuto Tributario CETA" w:history="1">
        <w:r w:rsidRPr="00EA4B4E">
          <w:rPr>
            <w:rFonts w:eastAsia="Times New Roman" w:cs="Times New Roman"/>
            <w:szCs w:val="24"/>
            <w:u w:val="single"/>
            <w:lang w:eastAsia="es-CO"/>
          </w:rPr>
          <w:t>artículo 616-2</w:t>
        </w:r>
      </w:hyperlink>
      <w:r w:rsidRPr="00EA4B4E">
        <w:rPr>
          <w:rFonts w:eastAsia="Times New Roman" w:cs="Times New Roman"/>
          <w:szCs w:val="24"/>
          <w:lang w:eastAsia="es-CO"/>
        </w:rPr>
        <w:t> del Estatuto Tributario, dentro de los cuales se encuentran los no responsables del impuesto sobre las ventas, la prueba de la transacción que da origen al costo, deducción o impuesto descontable, se soportará con un documento establecido por el Gobierno Nacional.</w:t>
      </w:r>
    </w:p>
    <w:p w14:paraId="05769624"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316AA996"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Los artículos 1.6.1.4.44 y 1.61.4.10 (sic) del Decreto 1625 de 2016, establecen el documento soporte para la procedencia de costos, deducciones e impuestos descontables con operaciones no obligadas y obligadas a expedir facturas o documento equivalente:</w:t>
      </w:r>
    </w:p>
    <w:p w14:paraId="63F8B668"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szCs w:val="24"/>
          <w:lang w:eastAsia="es-CO"/>
        </w:rPr>
        <w:t> </w:t>
      </w:r>
    </w:p>
    <w:p w14:paraId="577AA898"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b/>
          <w:bCs/>
          <w:i/>
          <w:iCs/>
          <w:szCs w:val="24"/>
          <w:lang w:eastAsia="es-CO"/>
        </w:rPr>
        <w:t>“Artículo 1.6.1.4.44.: Requisitos para la procedencia de costos, deducciones e impuestos descontables por operaciones realizadas con no obligados a facturar. </w:t>
      </w:r>
      <w:r w:rsidRPr="00EA4B4E">
        <w:rPr>
          <w:rFonts w:eastAsia="Times New Roman" w:cs="Times New Roman"/>
          <w:i/>
          <w:iCs/>
          <w:szCs w:val="24"/>
          <w:lang w:eastAsia="es-CO"/>
        </w:rPr>
        <w:t>De conformidad con lo estipulado en el inciso 3° del </w:t>
      </w:r>
      <w:hyperlink r:id="rId13" w:tooltip="Estatuto Tributario CETA" w:history="1">
        <w:r w:rsidRPr="00EA4B4E">
          <w:rPr>
            <w:rFonts w:eastAsia="Times New Roman" w:cs="Times New Roman"/>
            <w:i/>
            <w:iCs/>
            <w:szCs w:val="24"/>
            <w:u w:val="single"/>
            <w:lang w:eastAsia="es-CO"/>
          </w:rPr>
          <w:t>artículo 771-2</w:t>
        </w:r>
      </w:hyperlink>
      <w:r w:rsidRPr="00EA4B4E">
        <w:rPr>
          <w:rFonts w:eastAsia="Times New Roman" w:cs="Times New Roman"/>
          <w:i/>
          <w:iCs/>
          <w:szCs w:val="24"/>
          <w:lang w:eastAsia="es-CO"/>
        </w:rPr>
        <w:t> del Estatuto Tributario, el documento soporte para la procedencia de costos, deducciones e impuestos descontables por operaciones realizadas con personas no obligadas a expedir facturas o documento equivalente, será el expedido por el vendedor o por el adquirente del bien y/o servicio, y deberá reunir los siguientes requisitos:</w:t>
      </w:r>
    </w:p>
    <w:p w14:paraId="17A2AFE1"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 </w:t>
      </w:r>
    </w:p>
    <w:p w14:paraId="57420A5A"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1. Apellidos y nombre o razón social y NIT de la persona o entidad beneficiaria del pago o abono.</w:t>
      </w:r>
    </w:p>
    <w:p w14:paraId="1B9400B4"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2. Fecha de la transacción</w:t>
      </w:r>
    </w:p>
    <w:p w14:paraId="17EBC359"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3. Concepto</w:t>
      </w:r>
    </w:p>
    <w:p w14:paraId="4AB1EB86"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4. Valor de la operación</w:t>
      </w:r>
    </w:p>
    <w:p w14:paraId="26A54461"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5. La discriminación del impuesto generado en la operación, para el caso del impuesto sobre las ventas descontable.</w:t>
      </w:r>
    </w:p>
    <w:p w14:paraId="2D3D08C4"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 </w:t>
      </w:r>
    </w:p>
    <w:p w14:paraId="198624A4"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Lo dispuesto en el presente artículo no será aplicable para la procedencia de los costos, deducciones e impuestos descontables correspondientes a la retención asumida en operaciones realizadas con responsables del impuesto sobre las ventas del régimen simplificado.”</w:t>
      </w:r>
    </w:p>
    <w:p w14:paraId="4A386E76"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lastRenderedPageBreak/>
        <w:t> </w:t>
      </w:r>
    </w:p>
    <w:p w14:paraId="71F27842"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b/>
          <w:bCs/>
          <w:i/>
          <w:iCs/>
          <w:szCs w:val="24"/>
          <w:lang w:eastAsia="es-CO"/>
        </w:rPr>
        <w:t>“Artículo 1.6.1.4.40. Documento equivalente a la factura en adquisiciones efectuadas por responsables del régimen común a personas naturales no comerciantes o inscritas en el régimen simplificado.</w:t>
      </w:r>
      <w:r w:rsidRPr="00EA4B4E">
        <w:rPr>
          <w:rFonts w:eastAsia="Times New Roman" w:cs="Times New Roman"/>
          <w:i/>
          <w:iCs/>
          <w:szCs w:val="24"/>
          <w:lang w:eastAsia="es-CO"/>
        </w:rPr>
        <w:t> El adquirente, responsable del régimen común que adquiera bienes o servicios de personas naturales no comerciantes o inscritas en el régimen simplificado, expedirá a su proveedor un documento equivalente a la factura con el lleno de los siguientes requisitos:</w:t>
      </w:r>
    </w:p>
    <w:p w14:paraId="7DFC828B"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 </w:t>
      </w:r>
    </w:p>
    <w:p w14:paraId="5B291764"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a. Apellidos, nombre o razón social y NIT del adquirente de los bienes o servicios;</w:t>
      </w:r>
    </w:p>
    <w:p w14:paraId="52732BC6"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b. Apellidos, nombre y NIT de la persona natural beneficiaria del pago o abono;</w:t>
      </w:r>
    </w:p>
    <w:p w14:paraId="2763199B"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c. Número que corresponda a un sistema de numeración consecutiva;</w:t>
      </w:r>
    </w:p>
    <w:p w14:paraId="1FDA1E83"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d. Fecha de la operación;</w:t>
      </w:r>
    </w:p>
    <w:p w14:paraId="0DD13AD8"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e. Concepto;</w:t>
      </w:r>
    </w:p>
    <w:p w14:paraId="2ECB2D3D"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f. Valor de la operación;</w:t>
      </w:r>
    </w:p>
    <w:p w14:paraId="43933C8D"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g. Discriminación del impuesto asumido por el adquirente en la operación“</w:t>
      </w:r>
    </w:p>
    <w:p w14:paraId="0286BA54"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i/>
          <w:iCs/>
          <w:szCs w:val="24"/>
          <w:lang w:eastAsia="es-CO"/>
        </w:rPr>
        <w:t> </w:t>
      </w:r>
    </w:p>
    <w:p w14:paraId="05A6D879"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De lo anterior se concluye que cuando un responsable del régimen simplificado (No responsable del IVA) le vende un bien o servicio a un responsable del régimen común (Responsable), </w:t>
      </w:r>
      <w:r w:rsidRPr="00EA4B4E">
        <w:rPr>
          <w:rFonts w:eastAsia="Times New Roman" w:cs="Times New Roman"/>
          <w:b/>
          <w:bCs/>
          <w:szCs w:val="24"/>
          <w:u w:val="single"/>
          <w:lang w:eastAsia="es-CO"/>
        </w:rPr>
        <w:t>le corresponde a este último elaborar el documento equivalente a la factura</w:t>
      </w:r>
      <w:r w:rsidRPr="00EA4B4E">
        <w:rPr>
          <w:rFonts w:eastAsia="Times New Roman" w:cs="Times New Roman"/>
          <w:b/>
          <w:bCs/>
          <w:szCs w:val="24"/>
          <w:lang w:eastAsia="es-CO"/>
        </w:rPr>
        <w:t>. </w:t>
      </w:r>
      <w:r w:rsidRPr="00EA4B4E">
        <w:rPr>
          <w:rFonts w:eastAsia="Times New Roman" w:cs="Times New Roman"/>
          <w:szCs w:val="24"/>
          <w:lang w:eastAsia="es-CO"/>
        </w:rPr>
        <w:t>Por otro lado, cuando la operación se realiza entre no responsables del IVA, no obligados a facturar o a expedir documento equivalente, o entre un no responsable del impuesto sobre las ventas no obligado a facturar y no responsable del impuesto, caso en el cual no hay lugar a practicar retención del impuesto, </w:t>
      </w:r>
      <w:r w:rsidRPr="00EA4B4E">
        <w:rPr>
          <w:rFonts w:eastAsia="Times New Roman" w:cs="Times New Roman"/>
          <w:b/>
          <w:bCs/>
          <w:szCs w:val="24"/>
          <w:u w:val="single"/>
          <w:lang w:eastAsia="es-CO"/>
        </w:rPr>
        <w:t>el vendedor o comprador, para efectos de soportar los costos y deducciones en el impuesto sobre la renta, deberá elaborar el documento equivalente</w:t>
      </w:r>
      <w:r w:rsidRPr="00EA4B4E">
        <w:rPr>
          <w:rFonts w:eastAsia="Times New Roman" w:cs="Times New Roman"/>
          <w:b/>
          <w:bCs/>
          <w:szCs w:val="24"/>
          <w:lang w:eastAsia="es-CO"/>
        </w:rPr>
        <w:t>.</w:t>
      </w:r>
    </w:p>
    <w:p w14:paraId="6CCB5706"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b/>
          <w:bCs/>
          <w:szCs w:val="24"/>
          <w:lang w:eastAsia="es-CO"/>
        </w:rPr>
        <w:t> </w:t>
      </w:r>
    </w:p>
    <w:p w14:paraId="4FD6736F"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Le recordamos que, por remisión expresa del </w:t>
      </w:r>
      <w:hyperlink r:id="rId14" w:tooltip="Estatuto Tributario CETA" w:history="1">
        <w:r w:rsidRPr="00EA4B4E">
          <w:rPr>
            <w:rFonts w:eastAsia="Times New Roman" w:cs="Times New Roman"/>
            <w:szCs w:val="24"/>
            <w:u w:val="single"/>
            <w:lang w:eastAsia="es-CO"/>
          </w:rPr>
          <w:t>artículo 742</w:t>
        </w:r>
      </w:hyperlink>
      <w:r w:rsidRPr="00EA4B4E">
        <w:rPr>
          <w:rFonts w:eastAsia="Times New Roman" w:cs="Times New Roman"/>
          <w:szCs w:val="24"/>
          <w:lang w:eastAsia="es-CO"/>
        </w:rPr>
        <w:t> del Estatuto Tributario, los medios de prueba en las normas del Código General del Proceso son admisibles, en cuanto estos sean compatibles con los tributarios. En este sentido, y en concordancia con lo anterior, traemos a coalición que el artículo 243 del Código General del Proceso indica que:</w:t>
      </w:r>
    </w:p>
    <w:p w14:paraId="71175A63"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szCs w:val="24"/>
          <w:lang w:eastAsia="es-CO"/>
        </w:rPr>
        <w:t> </w:t>
      </w:r>
    </w:p>
    <w:p w14:paraId="27F38BD7" w14:textId="77777777" w:rsidR="00EA4B4E" w:rsidRPr="00EA4B4E" w:rsidRDefault="00EA4B4E" w:rsidP="00EA4B4E">
      <w:pPr>
        <w:shd w:val="clear" w:color="auto" w:fill="FFFFFF"/>
        <w:spacing w:line="240" w:lineRule="auto"/>
        <w:ind w:left="180"/>
        <w:rPr>
          <w:rFonts w:eastAsia="Times New Roman" w:cs="Times New Roman"/>
          <w:szCs w:val="24"/>
          <w:lang w:eastAsia="es-CO"/>
        </w:rPr>
      </w:pPr>
      <w:r w:rsidRPr="00EA4B4E">
        <w:rPr>
          <w:rFonts w:eastAsia="Times New Roman" w:cs="Times New Roman"/>
          <w:i/>
          <w:iCs/>
          <w:szCs w:val="24"/>
          <w:lang w:eastAsia="es-CO"/>
        </w:rPr>
        <w:t>“Son documentos los escritos, impresos, planos, dibujos, cuadros, mensajes de datos, fotografías, cintas cinematográficas, discos, grabaciones magnetofónicas, videograbaciones, radiografías, talones, contraseñas, cupones, etiquetas, sellos y, en general, todo objeto mueble que tenga carácter representativo o declarativo, y las inscripciones en lápidas, monumentos, edificios o similares.”</w:t>
      </w:r>
    </w:p>
    <w:p w14:paraId="454884F5"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i/>
          <w:iCs/>
          <w:szCs w:val="24"/>
          <w:lang w:eastAsia="es-CO"/>
        </w:rPr>
        <w:t> </w:t>
      </w:r>
    </w:p>
    <w:p w14:paraId="0A217A48"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Por último, le recordamos que, para el caso en particular, cuando se trata de un Exchange operado desde el exterior, a este le resultará aplicable lo establecido en la Resolución 51 de 2018 (Procedimiento y obligaciones de los Prestadores desde el exterior). En esta Resolución se establece la obligación de facturar de acuerdo a los sistemas y documentos de facturación que vienen utilizando, para todas sus operaciones con los usuarios directos o destinatarios del servicio. por cada prestación de servicios gravados con el impuesto sobre las ventas -IVA en Colombia.</w:t>
      </w:r>
    </w:p>
    <w:p w14:paraId="415CD660"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2198FFE3"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i/>
          <w:iCs/>
          <w:szCs w:val="24"/>
          <w:u w:val="single"/>
          <w:lang w:eastAsia="es-CO"/>
        </w:rPr>
        <w:t xml:space="preserve">4. ¿Si se adquiere un bien inmueble con </w:t>
      </w:r>
      <w:proofErr w:type="spellStart"/>
      <w:r w:rsidRPr="00EA4B4E">
        <w:rPr>
          <w:rFonts w:eastAsia="Times New Roman" w:cs="Times New Roman"/>
          <w:i/>
          <w:iCs/>
          <w:szCs w:val="24"/>
          <w:u w:val="single"/>
          <w:lang w:eastAsia="es-CO"/>
        </w:rPr>
        <w:t>criptoactivos</w:t>
      </w:r>
      <w:proofErr w:type="spellEnd"/>
      <w:r w:rsidRPr="00EA4B4E">
        <w:rPr>
          <w:rFonts w:eastAsia="Times New Roman" w:cs="Times New Roman"/>
          <w:i/>
          <w:iCs/>
          <w:szCs w:val="24"/>
          <w:u w:val="single"/>
          <w:lang w:eastAsia="es-CO"/>
        </w:rPr>
        <w:t xml:space="preserve"> que es un bien intangible? ¿El negocio jurídico es una permuta para efectos fiscales o una compraventa registrable en la notaria e instrumentos públicos? En caso que sea una permuta ¿Cómo se aplicaría lo dispuesto en el numeral 2 del </w:t>
      </w:r>
      <w:hyperlink r:id="rId15" w:tooltip="Estatuto Tributario CETA" w:history="1">
        <w:r w:rsidRPr="00EA4B4E">
          <w:rPr>
            <w:rFonts w:eastAsia="Times New Roman" w:cs="Times New Roman"/>
            <w:i/>
            <w:iCs/>
            <w:szCs w:val="24"/>
            <w:u w:val="single"/>
            <w:lang w:eastAsia="es-CO"/>
          </w:rPr>
          <w:t>artículo 27</w:t>
        </w:r>
      </w:hyperlink>
      <w:r w:rsidRPr="00EA4B4E">
        <w:rPr>
          <w:rFonts w:eastAsia="Times New Roman" w:cs="Times New Roman"/>
          <w:i/>
          <w:iCs/>
          <w:szCs w:val="24"/>
          <w:u w:val="single"/>
          <w:lang w:eastAsia="es-CO"/>
        </w:rPr>
        <w:t> del Estatuto Tributario?</w:t>
      </w:r>
    </w:p>
    <w:p w14:paraId="059D673C"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i/>
          <w:iCs/>
          <w:szCs w:val="24"/>
          <w:lang w:eastAsia="es-CO"/>
        </w:rPr>
        <w:t> </w:t>
      </w:r>
    </w:p>
    <w:p w14:paraId="028E0C04"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xml:space="preserve">Teniendo en cuenta que los </w:t>
      </w:r>
      <w:proofErr w:type="spellStart"/>
      <w:r w:rsidRPr="00EA4B4E">
        <w:rPr>
          <w:rFonts w:eastAsia="Times New Roman" w:cs="Times New Roman"/>
          <w:szCs w:val="24"/>
          <w:lang w:eastAsia="es-CO"/>
        </w:rPr>
        <w:t>criptoactivos</w:t>
      </w:r>
      <w:proofErr w:type="spellEnd"/>
      <w:r w:rsidRPr="00EA4B4E">
        <w:rPr>
          <w:rFonts w:eastAsia="Times New Roman" w:cs="Times New Roman"/>
          <w:szCs w:val="24"/>
          <w:lang w:eastAsia="es-CO"/>
        </w:rPr>
        <w:t xml:space="preserve"> corresponden a bienes, y en relación con la permuta, es preciso tener en cuenta que el Código Civil, en sus artículos 1955 a 1958, la define como un contrato que tiene por objeto el cambio de una especie por otra y en el que cada permutante es considerado como vendedor de la cosa que da y comprador de la cosa que recibe. En este sentido, y para el caso en particular, se estaría cambiando un bien por otro; por lo tanto, estaríamos frente a una permuta en virtud a que no existe disposición en la normativa colombiana que prohíba el uso de los </w:t>
      </w:r>
      <w:proofErr w:type="spellStart"/>
      <w:r w:rsidRPr="00EA4B4E">
        <w:rPr>
          <w:rFonts w:eastAsia="Times New Roman" w:cs="Times New Roman"/>
          <w:szCs w:val="24"/>
          <w:lang w:eastAsia="es-CO"/>
        </w:rPr>
        <w:t>criptoactivos</w:t>
      </w:r>
      <w:proofErr w:type="spellEnd"/>
      <w:r w:rsidRPr="00EA4B4E">
        <w:rPr>
          <w:rFonts w:eastAsia="Times New Roman" w:cs="Times New Roman"/>
          <w:szCs w:val="24"/>
          <w:lang w:eastAsia="es-CO"/>
        </w:rPr>
        <w:t xml:space="preserve"> para la compra de un bien </w:t>
      </w:r>
      <w:r w:rsidRPr="00EA4B4E">
        <w:rPr>
          <w:rFonts w:eastAsia="Times New Roman" w:cs="Times New Roman"/>
          <w:szCs w:val="24"/>
          <w:lang w:eastAsia="es-CO"/>
        </w:rPr>
        <w:lastRenderedPageBreak/>
        <w:t>inmueble. Ahora bien, tanto el contrato de compraventa como la permuta, se perfeccionan, cuando uno de los bienes es un inmueble, en la fecha de la escritura. Por lo tanto, el ingreso obtenido en virtud del contrato de permuta, se entenderá realizado en la fecha de la escritura pública.</w:t>
      </w:r>
    </w:p>
    <w:p w14:paraId="1E6FB72B"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330C93F9" w14:textId="47381C71"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Atentamente,</w:t>
      </w:r>
    </w:p>
    <w:p w14:paraId="04957713"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 </w:t>
      </w:r>
    </w:p>
    <w:p w14:paraId="7AF7F7CF" w14:textId="1BE66674"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b/>
          <w:bCs/>
          <w:szCs w:val="24"/>
          <w:lang w:eastAsia="es-CO"/>
        </w:rPr>
        <w:t>LORENZO CASTILLO BARVO</w:t>
      </w:r>
    </w:p>
    <w:p w14:paraId="15EACB32"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Subdirector de Gestión Normativa y Doctrina (E)</w:t>
      </w:r>
    </w:p>
    <w:p w14:paraId="6B81EE8A" w14:textId="77777777" w:rsidR="00EA4B4E" w:rsidRP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Dirección de Gestión Jurídica</w:t>
      </w:r>
    </w:p>
    <w:p w14:paraId="72A918DE" w14:textId="70F520EB" w:rsidR="00EA4B4E" w:rsidRDefault="00EA4B4E" w:rsidP="00EA4B4E">
      <w:pPr>
        <w:shd w:val="clear" w:color="auto" w:fill="FFFFFF"/>
        <w:spacing w:line="240" w:lineRule="auto"/>
        <w:rPr>
          <w:rFonts w:eastAsia="Times New Roman" w:cs="Times New Roman"/>
          <w:szCs w:val="24"/>
          <w:lang w:eastAsia="es-CO"/>
        </w:rPr>
      </w:pPr>
      <w:r w:rsidRPr="00EA4B4E">
        <w:rPr>
          <w:rFonts w:eastAsia="Times New Roman" w:cs="Times New Roman"/>
          <w:szCs w:val="24"/>
          <w:lang w:eastAsia="es-CO"/>
        </w:rPr>
        <w:t>UAE-Dirección de Impuestos y Aduanas Nacionales</w:t>
      </w:r>
    </w:p>
    <w:p w14:paraId="06FCBABB" w14:textId="4AA0B0C7" w:rsidR="00775D53" w:rsidRPr="00EA4B4E" w:rsidRDefault="00775D53" w:rsidP="00EA4B4E">
      <w:pPr>
        <w:shd w:val="clear" w:color="auto" w:fill="FFFFFF"/>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p>
    <w:p w14:paraId="5C2BFCD9" w14:textId="77777777" w:rsidR="00730617" w:rsidRPr="00EA4B4E" w:rsidRDefault="00730617">
      <w:pPr>
        <w:rPr>
          <w:rFonts w:cs="Times New Roman"/>
          <w:szCs w:val="24"/>
        </w:rPr>
      </w:pPr>
    </w:p>
    <w:sectPr w:rsidR="00730617" w:rsidRPr="00EA4B4E"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4E"/>
    <w:rsid w:val="00730617"/>
    <w:rsid w:val="00775D53"/>
    <w:rsid w:val="00A45230"/>
    <w:rsid w:val="00EA4B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E5E9"/>
  <w15:chartTrackingRefBased/>
  <w15:docId w15:val="{0B26E8CD-5B67-45E3-A5BC-DEAC0DBE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57" TargetMode="External"/><Relationship Id="rId13" Type="http://schemas.openxmlformats.org/officeDocument/2006/relationships/hyperlink" Target="https://www.ceta.org.co/html/vista_de_un_articulo.asp?Norma=95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9" TargetMode="External"/><Relationship Id="rId12" Type="http://schemas.openxmlformats.org/officeDocument/2006/relationships/hyperlink" Target="https://www.ceta.org.co/html/vista_de_un_articulo.asp?Norma=75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11" Type="http://schemas.openxmlformats.org/officeDocument/2006/relationships/hyperlink" Target="https://www.ceta.org.co/html/vista_de_un_articulo.asp?Norma=761" TargetMode="External"/><Relationship Id="rId5" Type="http://schemas.openxmlformats.org/officeDocument/2006/relationships/hyperlink" Target="https://www.ceta.org.co/html/vista_de_un_articulo.asp?Norma=957" TargetMode="External"/><Relationship Id="rId15" Type="http://schemas.openxmlformats.org/officeDocument/2006/relationships/hyperlink" Target="https://www.ceta.org.co/html/vista_de_un_articulo.asp?Norma=57" TargetMode="External"/><Relationship Id="rId10" Type="http://schemas.openxmlformats.org/officeDocument/2006/relationships/hyperlink" Target="https://www.ceta.org.co/html/vista_de_un_articulo.asp?Norma=761" TargetMode="External"/><Relationship Id="rId4" Type="http://schemas.openxmlformats.org/officeDocument/2006/relationships/hyperlink" Target="https://www.ceta.org.co/html/vista_de_un_articulo.asp?Norma=755" TargetMode="External"/><Relationship Id="rId9" Type="http://schemas.openxmlformats.org/officeDocument/2006/relationships/hyperlink" Target="https://www.ceta.org.co/html/vista_de_un_articulo.asp?Norma=761" TargetMode="External"/><Relationship Id="rId14" Type="http://schemas.openxmlformats.org/officeDocument/2006/relationships/hyperlink" Target="https://www.ceta.org.co/html/vista_de_un_articulo.asp?Norma=9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1965</Words>
  <Characters>9809</Characters>
  <Application>Microsoft Office Word</Application>
  <DocSecurity>0</DocSecurity>
  <Lines>185</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2</cp:revision>
  <dcterms:created xsi:type="dcterms:W3CDTF">2019-07-27T21:43:00Z</dcterms:created>
  <dcterms:modified xsi:type="dcterms:W3CDTF">2019-11-22T21:38:00Z</dcterms:modified>
</cp:coreProperties>
</file>